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2CD8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11"/>
        <w:rPr>
          <w:rFonts w:hint="eastAsia" w:ascii="宋体" w:hAnsi="宋体" w:eastAsia="宋体" w:cs="宋体"/>
          <w:b/>
          <w:bCs/>
          <w:sz w:val="52"/>
          <w:szCs w:val="52"/>
          <w:lang w:eastAsia="zh-CN"/>
        </w:rPr>
      </w:pPr>
    </w:p>
    <w:p w14:paraId="6C91C233">
      <w:pPr>
        <w:pStyle w:val="11"/>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eastAsia="zh-CN"/>
        </w:rPr>
        <w:t>屏风工作台、洗手槽、晾衣架</w:t>
      </w:r>
      <w:r>
        <w:rPr>
          <w:rFonts w:hint="eastAsia" w:ascii="宋体" w:hAnsi="宋体" w:eastAsia="宋体" w:cs="宋体"/>
          <w:b/>
          <w:bCs/>
          <w:sz w:val="52"/>
          <w:szCs w:val="52"/>
          <w:u w:val="single"/>
          <w:lang w:val="en-US" w:eastAsia="zh-CN"/>
        </w:rPr>
        <w:t>采购项目</w:t>
      </w:r>
    </w:p>
    <w:p w14:paraId="651B51BC">
      <w:pPr>
        <w:pStyle w:val="11"/>
        <w:ind w:left="0" w:leftChars="0" w:firstLine="0" w:firstLineChars="0"/>
        <w:jc w:val="both"/>
        <w:rPr>
          <w:rFonts w:hint="eastAsia" w:ascii="宋体" w:hAnsi="宋体" w:eastAsia="宋体" w:cs="宋体"/>
          <w:b/>
          <w:bCs/>
          <w:sz w:val="52"/>
          <w:szCs w:val="52"/>
          <w:lang w:eastAsia="zh-CN"/>
        </w:rPr>
      </w:pPr>
    </w:p>
    <w:p w14:paraId="29E4276B">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7"/>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2024年10月11日</w:t>
      </w:r>
    </w:p>
    <w:p w14:paraId="7781C039">
      <w:pPr>
        <w:pStyle w:val="7"/>
        <w:rPr>
          <w:rFonts w:hint="eastAsia" w:ascii="宋体" w:hAnsi="宋体" w:eastAsia="宋体" w:cs="宋体"/>
          <w:b/>
          <w:bCs/>
          <w:sz w:val="32"/>
          <w:szCs w:val="32"/>
        </w:rPr>
      </w:pPr>
    </w:p>
    <w:p w14:paraId="6456933E">
      <w:pPr>
        <w:pStyle w:val="5"/>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5E1A0F6B">
      <w:pPr>
        <w:pStyle w:val="5"/>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745F06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关于屏风工作台、洗手槽、晾衣架</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14:paraId="3D83B7E6">
      <w:pPr>
        <w:pStyle w:val="6"/>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屏风工作台、洗手槽、晾衣架</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11962B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r>
        <w:rPr>
          <w:rFonts w:hint="eastAsia" w:ascii="宋体" w:hAnsi="宋体" w:eastAsia="宋体" w:cs="宋体"/>
          <w:b w:val="0"/>
          <w:bCs/>
          <w:color w:val="343434"/>
          <w:sz w:val="28"/>
          <w:szCs w:val="28"/>
          <w:u w:val="single"/>
          <w:shd w:val="clear" w:color="auto" w:fill="FFFFFF"/>
          <w:lang w:val="en-US" w:eastAsia="zh-CN"/>
        </w:rPr>
        <w:t>屏风工作台、洗手槽、晾衣架采购项目</w:t>
      </w:r>
    </w:p>
    <w:p w14:paraId="05D56D63">
      <w:pPr>
        <w:pStyle w:val="2"/>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（二）采购限价</w:t>
      </w:r>
    </w:p>
    <w:p w14:paraId="3018747E">
      <w:pPr>
        <w:pStyle w:val="2"/>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01包  屏风工作台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3070"/>
        <w:gridCol w:w="2809"/>
      </w:tblGrid>
      <w:tr w14:paraId="48C4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04" w:type="dxa"/>
          </w:tcPr>
          <w:p w14:paraId="4E5105BE">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项目内容</w:t>
            </w:r>
          </w:p>
        </w:tc>
        <w:tc>
          <w:tcPr>
            <w:tcW w:w="1704" w:type="dxa"/>
          </w:tcPr>
          <w:p w14:paraId="5933D3A8">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数量（组）</w:t>
            </w:r>
          </w:p>
        </w:tc>
        <w:tc>
          <w:tcPr>
            <w:tcW w:w="3070" w:type="dxa"/>
          </w:tcPr>
          <w:p w14:paraId="1D9EB50D">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限价</w:t>
            </w:r>
          </w:p>
        </w:tc>
        <w:tc>
          <w:tcPr>
            <w:tcW w:w="2809" w:type="dxa"/>
          </w:tcPr>
          <w:p w14:paraId="4C030A08">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备注</w:t>
            </w:r>
          </w:p>
        </w:tc>
      </w:tr>
      <w:tr w14:paraId="42B9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6854E6D1">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屏风工作台</w:t>
            </w:r>
          </w:p>
        </w:tc>
        <w:tc>
          <w:tcPr>
            <w:tcW w:w="1704" w:type="dxa"/>
          </w:tcPr>
          <w:p w14:paraId="5BC8BD12">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36</w:t>
            </w:r>
          </w:p>
        </w:tc>
        <w:tc>
          <w:tcPr>
            <w:tcW w:w="3070" w:type="dxa"/>
          </w:tcPr>
          <w:p w14:paraId="483A5051">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1250.00元/组</w:t>
            </w:r>
          </w:p>
        </w:tc>
        <w:tc>
          <w:tcPr>
            <w:tcW w:w="2809" w:type="dxa"/>
          </w:tcPr>
          <w:p w14:paraId="4C39ECD2">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5345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287" w:type="dxa"/>
            <w:gridSpan w:val="4"/>
          </w:tcPr>
          <w:p w14:paraId="30EC63DE">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总限价：4.5万元</w:t>
            </w:r>
          </w:p>
        </w:tc>
      </w:tr>
    </w:tbl>
    <w:p w14:paraId="4D7E02EE">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02包  洗手槽、晾衣架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3070"/>
        <w:gridCol w:w="2794"/>
      </w:tblGrid>
      <w:tr w14:paraId="028F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393DA7B">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项目内容</w:t>
            </w:r>
          </w:p>
        </w:tc>
        <w:tc>
          <w:tcPr>
            <w:tcW w:w="1704" w:type="dxa"/>
          </w:tcPr>
          <w:p w14:paraId="209A92FD">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数量（组）</w:t>
            </w:r>
          </w:p>
        </w:tc>
        <w:tc>
          <w:tcPr>
            <w:tcW w:w="3070" w:type="dxa"/>
          </w:tcPr>
          <w:p w14:paraId="46D5E26A">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限价</w:t>
            </w:r>
          </w:p>
        </w:tc>
        <w:tc>
          <w:tcPr>
            <w:tcW w:w="2794" w:type="dxa"/>
          </w:tcPr>
          <w:p w14:paraId="46A394ED">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备注</w:t>
            </w:r>
          </w:p>
        </w:tc>
      </w:tr>
      <w:tr w14:paraId="627A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0904D4A">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洗手槽</w:t>
            </w:r>
          </w:p>
        </w:tc>
        <w:tc>
          <w:tcPr>
            <w:tcW w:w="1704" w:type="dxa"/>
          </w:tcPr>
          <w:p w14:paraId="7DA0BA80">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6</w:t>
            </w:r>
          </w:p>
        </w:tc>
        <w:tc>
          <w:tcPr>
            <w:tcW w:w="3070" w:type="dxa"/>
          </w:tcPr>
          <w:p w14:paraId="6F1A9AC4">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4650.00元/组</w:t>
            </w:r>
          </w:p>
        </w:tc>
        <w:tc>
          <w:tcPr>
            <w:tcW w:w="2794" w:type="dxa"/>
          </w:tcPr>
          <w:p w14:paraId="0758E298">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15D5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7F3E7366">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晾衣架</w:t>
            </w:r>
          </w:p>
        </w:tc>
        <w:tc>
          <w:tcPr>
            <w:tcW w:w="1704" w:type="dxa"/>
          </w:tcPr>
          <w:p w14:paraId="030B16A5">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3</w:t>
            </w:r>
          </w:p>
        </w:tc>
        <w:tc>
          <w:tcPr>
            <w:tcW w:w="3070" w:type="dxa"/>
          </w:tcPr>
          <w:p w14:paraId="5E594269">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1700.00元/组</w:t>
            </w:r>
          </w:p>
        </w:tc>
        <w:tc>
          <w:tcPr>
            <w:tcW w:w="2794" w:type="dxa"/>
          </w:tcPr>
          <w:p w14:paraId="21DE3BFA">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7129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272" w:type="dxa"/>
            <w:gridSpan w:val="4"/>
          </w:tcPr>
          <w:p w14:paraId="6F7CA0B1">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总限价：3.3万元</w:t>
            </w:r>
          </w:p>
        </w:tc>
      </w:tr>
    </w:tbl>
    <w:p w14:paraId="2C3E247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（三）参数要求、商务要求</w:t>
      </w:r>
    </w:p>
    <w:p w14:paraId="1C84EFD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01、02包  参数要求、商务要求详见附件1</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二、采购方式：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r>
        <w:rPr>
          <w:rFonts w:hint="eastAsia" w:ascii="宋体" w:hAnsi="宋体" w:eastAsia="宋体" w:cs="宋体"/>
          <w:b/>
          <w:bCs/>
          <w:sz w:val="28"/>
          <w:szCs w:val="28"/>
        </w:rPr>
        <w:t>注：所有参数要求、商务要求均为实质性要求，负偏离</w:t>
      </w:r>
      <w:r>
        <w:rPr>
          <w:rFonts w:hint="eastAsia" w:ascii="宋体" w:hAnsi="宋体" w:eastAsia="宋体" w:cs="宋体"/>
          <w:b/>
          <w:bCs/>
          <w:sz w:val="28"/>
          <w:szCs w:val="28"/>
          <w:lang w:eastAsia="zh-CN"/>
        </w:rPr>
        <w:t>则</w:t>
      </w:r>
      <w:r>
        <w:rPr>
          <w:rFonts w:hint="eastAsia" w:ascii="宋体" w:hAnsi="宋体" w:eastAsia="宋体" w:cs="宋体"/>
          <w:b/>
          <w:bCs/>
          <w:sz w:val="28"/>
          <w:szCs w:val="28"/>
        </w:rPr>
        <w:t>响应文件无效。</w:t>
      </w:r>
      <w:r>
        <w:rPr>
          <w:rFonts w:hint="eastAsia" w:ascii="宋体" w:hAnsi="宋体" w:eastAsia="宋体" w:cs="宋体"/>
          <w:sz w:val="28"/>
          <w:szCs w:val="28"/>
        </w:rPr>
        <w:t>）</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6"/>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w:t>
      </w:r>
      <w:r>
        <w:rPr>
          <w:rFonts w:hint="eastAsia" w:ascii="宋体" w:hAnsi="宋体" w:eastAsia="宋体" w:cs="宋体"/>
          <w:sz w:val="28"/>
          <w:szCs w:val="28"/>
          <w:lang w:eastAsia="zh-CN"/>
        </w:rPr>
        <w:t>：</w:t>
      </w:r>
      <w:r>
        <w:rPr>
          <w:rFonts w:hint="eastAsia" w:ascii="宋体" w:hAnsi="宋体" w:eastAsia="宋体" w:cs="宋体"/>
          <w:sz w:val="28"/>
          <w:szCs w:val="28"/>
        </w:rPr>
        <w:t>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12</w:t>
      </w:r>
      <w:r>
        <w:rPr>
          <w:rFonts w:hint="eastAsia" w:ascii="宋体" w:hAnsi="宋体" w:eastAsia="宋体" w:cs="宋体"/>
          <w:sz w:val="28"/>
          <w:szCs w:val="28"/>
        </w:rPr>
        <w:t>日至</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w:t>
      </w:r>
      <w:r>
        <w:rPr>
          <w:rFonts w:hint="eastAsia" w:ascii="宋体" w:hAnsi="宋体" w:eastAsia="宋体" w:cs="宋体"/>
          <w:sz w:val="28"/>
          <w:szCs w:val="28"/>
          <w:lang w:eastAsia="zh-CN"/>
        </w:rPr>
        <w:t>用</w:t>
      </w:r>
      <w:r>
        <w:rPr>
          <w:rFonts w:hint="eastAsia" w:ascii="宋体" w:hAnsi="宋体" w:eastAsia="宋体" w:cs="宋体"/>
          <w:sz w:val="28"/>
          <w:szCs w:val="28"/>
        </w:rPr>
        <w:t>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w:t>
      </w:r>
      <w:r>
        <w:rPr>
          <w:rFonts w:hint="eastAsia" w:ascii="宋体" w:hAnsi="宋体" w:eastAsia="宋体" w:cs="宋体"/>
          <w:sz w:val="28"/>
          <w:szCs w:val="28"/>
          <w:lang w:eastAsia="zh-CN"/>
        </w:rPr>
        <w:t>签</w:t>
      </w:r>
      <w:r>
        <w:rPr>
          <w:rFonts w:hint="eastAsia" w:ascii="宋体" w:hAnsi="宋体" w:eastAsia="宋体" w:cs="宋体"/>
          <w:sz w:val="28"/>
          <w:szCs w:val="28"/>
        </w:rPr>
        <w:t>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.内容要求：询价响应文件一式两份，一正一副，胶装成册，编排目录，密封，包括：报价单、资质、业绩、服务方案等；询价文件封面注明项目名称、包号、公司名称、联系人、联系电话。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18</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18</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w:t>
      </w:r>
      <w:r>
        <w:rPr>
          <w:rFonts w:hint="eastAsia" w:ascii="宋体" w:hAnsi="宋体" w:eastAsia="宋体" w:cs="宋体"/>
          <w:sz w:val="28"/>
          <w:szCs w:val="28"/>
          <w:lang w:eastAsia="zh-CN"/>
        </w:rPr>
        <w:t>一次性</w:t>
      </w:r>
      <w:r>
        <w:rPr>
          <w:rFonts w:hint="eastAsia" w:ascii="宋体" w:hAnsi="宋体" w:eastAsia="宋体" w:cs="宋体"/>
          <w:sz w:val="28"/>
          <w:szCs w:val="28"/>
        </w:rPr>
        <w:t>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解老师-13991137357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6DD0DC3C">
      <w:pPr>
        <w:pStyle w:val="6"/>
        <w:ind w:left="0" w:leftChars="0" w:firstLine="0" w:firstLineChars="0"/>
        <w:rPr>
          <w:rFonts w:hint="eastAsia" w:ascii="黑体" w:hAnsi="黑体" w:eastAsia="黑体" w:cs="黑体"/>
          <w:b/>
          <w:bCs w:val="0"/>
          <w:color w:val="000000"/>
          <w:sz w:val="28"/>
          <w:szCs w:val="28"/>
          <w:highlight w:val="none"/>
          <w:lang w:val="en-US" w:eastAsia="zh-CN"/>
        </w:rPr>
      </w:pPr>
      <w:r>
        <w:rPr>
          <w:rFonts w:hint="eastAsia" w:ascii="黑体" w:hAnsi="黑体" w:eastAsia="黑体" w:cs="黑体"/>
          <w:b/>
          <w:bCs w:val="0"/>
          <w:color w:val="000000"/>
          <w:sz w:val="28"/>
          <w:szCs w:val="28"/>
          <w:highlight w:val="none"/>
        </w:rPr>
        <w:t>附件</w:t>
      </w:r>
      <w:r>
        <w:rPr>
          <w:rFonts w:hint="eastAsia" w:ascii="黑体" w:hAnsi="黑体" w:eastAsia="黑体" w:cs="黑体"/>
          <w:b/>
          <w:bCs w:val="0"/>
          <w:color w:val="000000"/>
          <w:sz w:val="28"/>
          <w:szCs w:val="28"/>
          <w:highlight w:val="none"/>
          <w:lang w:val="en-US" w:eastAsia="zh-CN"/>
        </w:rPr>
        <w:t>1</w:t>
      </w:r>
    </w:p>
    <w:p w14:paraId="77F1C9A4">
      <w:pPr>
        <w:pStyle w:val="6"/>
        <w:ind w:left="0" w:leftChars="0" w:firstLine="0" w:firstLineChars="0"/>
        <w:rPr>
          <w:rFonts w:hint="eastAsia" w:ascii="黑体" w:hAnsi="黑体" w:eastAsia="黑体" w:cs="黑体"/>
          <w:b/>
          <w:bCs w:val="0"/>
          <w:color w:val="000000"/>
          <w:sz w:val="28"/>
          <w:szCs w:val="28"/>
          <w:highlight w:val="none"/>
          <w:lang w:val="en-US" w:eastAsia="zh-CN"/>
        </w:rPr>
      </w:pPr>
      <w:r>
        <w:rPr>
          <w:rFonts w:hint="eastAsia" w:ascii="宋体" w:hAnsi="宋体" w:eastAsia="宋体" w:cs="宋体"/>
          <w:b/>
          <w:bCs/>
          <w:sz w:val="28"/>
          <w:szCs w:val="28"/>
          <w:lang w:val="en-US" w:eastAsia="zh-CN"/>
        </w:rPr>
        <w:t>产品参数</w:t>
      </w:r>
    </w:p>
    <w:p w14:paraId="6DE426A0">
      <w:pPr>
        <w:pStyle w:val="2"/>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01包  屏风工作台</w:t>
      </w:r>
    </w:p>
    <w:p w14:paraId="206750C6">
      <w:pPr>
        <w:ind w:firstLine="240" w:firstLineChars="100"/>
        <w:rPr>
          <w:rFonts w:hint="default"/>
          <w:sz w:val="24"/>
          <w:szCs w:val="24"/>
          <w:lang w:val="en-US" w:eastAsia="zh-CN"/>
        </w:rPr>
      </w:pPr>
      <w:r>
        <w:rPr>
          <w:rFonts w:hint="eastAsia"/>
          <w:sz w:val="24"/>
          <w:szCs w:val="24"/>
          <w:lang w:val="en-US" w:eastAsia="zh-CN"/>
        </w:rPr>
        <w:t>（一）参考图片：</w:t>
      </w:r>
    </w:p>
    <w:p w14:paraId="3B219364">
      <w:pPr>
        <w:rPr>
          <w:rFonts w:hint="default"/>
          <w:sz w:val="24"/>
          <w:szCs w:val="24"/>
          <w:lang w:val="en-US" w:eastAsia="zh-CN"/>
        </w:rPr>
      </w:pPr>
      <w:r>
        <w:rPr>
          <w:rFonts w:hint="eastAsia" w:ascii="华文宋体" w:hAnsi="华文宋体" w:eastAsia="华文宋体" w:cs="华文宋体"/>
          <w:sz w:val="24"/>
          <w:szCs w:val="24"/>
          <w:lang w:val="en-US" w:eastAsia="zh-CN"/>
        </w:rPr>
        <w:drawing>
          <wp:inline distT="0" distB="0" distL="114300" distR="114300">
            <wp:extent cx="3663315" cy="2390140"/>
            <wp:effectExtent l="0" t="0" r="13335" b="10160"/>
            <wp:docPr id="1" name="图片 1" descr="a9b7a9bc978d0bed09883cd0e3af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9b7a9bc978d0bed09883cd0e3af4f7"/>
                    <pic:cNvPicPr>
                      <a:picLocks noChangeAspect="1"/>
                    </pic:cNvPicPr>
                  </pic:nvPicPr>
                  <pic:blipFill>
                    <a:blip r:embed="rId4"/>
                    <a:stretch>
                      <a:fillRect/>
                    </a:stretch>
                  </pic:blipFill>
                  <pic:spPr>
                    <a:xfrm>
                      <a:off x="0" y="0"/>
                      <a:ext cx="3663315" cy="2390140"/>
                    </a:xfrm>
                    <a:prstGeom prst="rect">
                      <a:avLst/>
                    </a:prstGeom>
                  </pic:spPr>
                </pic:pic>
              </a:graphicData>
            </a:graphic>
          </wp:inline>
        </w:drawing>
      </w:r>
    </w:p>
    <w:p w14:paraId="76201FA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（二）参数要求：</w:t>
      </w:r>
    </w:p>
    <w:p w14:paraId="45C6EE2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1、基材实木颗粒板，检验检测方式和判定依据符合GB/T35601-2017等标准或现行其他有效标准，并且在一份检验检测报告中达到如下指标：厚度偏差合格；长度与宽度偏差合格；平整度合格；外观质量（断痕、透裂、压痕等）合格；板内密度偏差合格；含水率合格；尺寸稳定性合格；吸水厚度膨胀率、静曲强度、弹性模量、内胶合强度、表面胶合强度均合格；握螺钉力：板面≥1100N、板边≥850N；甲醛释放量≤0.025mg/m³；≥72h挥发性有机化合物检测：苯、甲苯、二甲苯、总挥发性有机化合物（TVOC）均不得检出。</w:t>
      </w:r>
    </w:p>
    <w:p w14:paraId="18887B8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2、贴面三聚氰胺板，检验检测方式和判定依据符合GB/T35601-2017等标准或现行其他有效标准，并且在一份检验检测报告中达到如下指标：外观质量合格；规格尺寸及偏差合格；静曲强度、弹性模量、内结合强度、吸水厚度膨胀率、密度、表面胶合强度均合格；表面耐冷热循环、表面耐划痕、表面耐磨均合格；表面耐香烟灼烧≥5级合格；表面耐干热≥5级合格；表面耐污染腐蚀：含丙酮、咖啡、氢氧化钠溶液（25％）、双氧水（30％）、柠檬酸溶液（10％）、鞋油均≥5级合格；表面耐龟裂、表面耐水蒸气均≥5级合格；握螺钉力：板面≥1100N、板边≥850N；甲醛释放量≤0.025mg/m³；≥72h挥发性有机化合物检测：苯、甲苯、二甲苯、总挥发性有机化合物（TVOC）均不得检出。</w:t>
      </w:r>
    </w:p>
    <w:p w14:paraId="1AA1A51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3、封边条，检验检测方式和判定依据符合QB/T4463-2013等标准或现行其他有效标准，并且在一份检验检测报告中达到如下指标：塑料封边条外观合格；耐干热性、耐磨性、耐开裂性（耐龟裂性）、耐老化性、耐冷热循环性、耐光色牢度均合格；甲醛释放量不得检出；可迁移元素（可溶性重金属）铅、镉、铬、汞、砷、钡、锑、硒均不得检出；邻苯二甲酸酯、多溴联苯、多溴联苯醚均不得检出。</w:t>
      </w:r>
    </w:p>
    <w:p w14:paraId="36553C4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4、热熔胶，检验检测方式和判定依据符合HJ2541-2016等标准或现行其他有效标准，并且在一份检验检测报告中达到如下指标：苯、甲苯+乙苯+二甲苯、卤代烃均不得检出；总挥发性有机物≤3g/L。</w:t>
      </w:r>
    </w:p>
    <w:p w14:paraId="593957C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5、五金件：▲（1）三合一连接件，检验检测方式和判定依据符合GB/T10125-2021等标准或现行其他有效标准，并且在一份检验检测报告中达到如下指标：主要尺寸与角度合格；外观合格；理化性能（金属镀层抗盐雾）无锈点；三合一偏心连接件偏心体抗压强度≥280N；三合一偏心连接件预埋螺母抗拉强度≥560N；三合一偏心连接件中连接螺杆螺纹与预埋螺母的抗拉强度≥3000N；三合一偏心连接件中偏心体与连接螺杆的扭矩合格；人造气氛腐蚀试验：≥72h中性盐雾（NSS）、≥72h乙酸盐雾（AASS）、≥72h铜加速乙酸盐雾（CASS）：均达到保护评级10级、外观评级10级。▲（2）锁具，检验检测方式和判定依据符合GB/T10125-2021等标准或现行其他有效标准，并且在一份检验检测报告中达到如下指标：保密度合格；牢固度合格；灵活度合格；外观质量合格；人造气氛腐蚀试验：≥72h中性盐雾（NSS）、≥72h乙酸盐雾（AASS）、≥72h铜加速乙酸盐雾（CASS）：均达到保护评级10级、外观评级10级。▲（3）导轨，检验检测方式和判定依据符合GB/T10125-2021等标准或现行其他有效标准，并且在一份检验检测报告中达到如下指标：垂直向下静载荷（过载）合格；水平侧向静载荷（过载）合格；猛开或猛关（过载）合格；操作力合格；抽屉导轨组件结构强度合格；≥8万次耐久性合格；拉出安全性合格；下沉量合格；人造气氛腐蚀试验：≥72h中性盐雾（NSS）、≥72h乙酸盐雾（AASS）、≥72h铜加速乙酸盐雾（CASS）：均达到保护评级10级、外观评级10级。▲（4）铰链，检验检测方式和判定依据符合GB/T10125-2021等标准或现行其他有效标准，并且在一份检验检测报告中达到如下指标：垂直静载荷（过载）合格；水平静载荷（过载）合格；操作力合格；≥8万次耐久性合格；下沉量合格；人造气氛腐蚀试验：≥72h中性盐雾（NSS）、≥72h乙酸盐雾（AASS）、≥72h铜加速乙酸盐雾（CASS）：均达到保护评级10级、外观评级10级。▲（5）拉手，检验检测方式和判定依据符合GB/T10125-2021等标准或现行其他有效标准，并且在一份检验检测报告中达到如下指标：金属件外观性能要求合格；人造气氛腐蚀试验：≥72h中性盐雾（NSS）、≥72h乙酸盐雾（AASS）、≥72h铜加速乙酸盐雾（CASS）：均达到保护评级10级、外观评级10级。▲（6）线盒，检验检测方式和判定依据符合GB/T10125-2021等标准或现行其他有效标准，并且在一份检验检测报告中达到如下指标：金属件外观性能要求合格；人造气氛腐蚀试验：≥72h中性盐雾（NSS）、≥72h乙酸盐雾（AASS）、≥72h铜加速乙酸盐雾（CASS）：均达到保护评级10级、外观评级10级。</w:t>
      </w:r>
    </w:p>
    <w:p w14:paraId="0D32819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6、屏风龙骨架：采用铝材作为龙骨架，内镶嵌磨砂玻璃、每位工作位配备三抽柜、键盘架、活动主机架各一。</w:t>
      </w:r>
    </w:p>
    <w:p w14:paraId="61E4DA1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★（三）其他要求：</w:t>
      </w:r>
    </w:p>
    <w:p w14:paraId="7029D7B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1、为了保障采购人的合法权益和保证产品质量以及预防和打击非法买卖使用虚假不实产品质量检验检测报告，投标人不在投标文件里提供标“▲”项检验检测报告复印件，承诺签订合同前提供相关检验检测报告原件由采购人验证，验证资料要求：①检验报告出具的检验检测机构必须符合或优于《中华人民共和国计量法》《检验检测机构监督管理办法》、《检验检测机构资质认定管理办法》等相关法律法规规定；②检验报告经查证属于未经真实检测获取、盗用冒用合法报告 编号而虚假编制、PS等虚假不实情形的视为提供虚假材料谋取中标将依法追究 法律责任；③检验报告网络查询必须为合法官方网站即在“工业和信息化部政务 服务平台ICP/IP地址/域名信息备案管理系统”依法获得ICP备案号/许可证号，一切非合法官方网站的非法查询链接视为提供虚假材料谋取中标将依法追究法律责任；④投标人提供的检验报告相关证明材料涉嫌虚假，无法通过合法网络查验时，需按照要求进一步提供相关证明材料，不提供的投标人需承担一切法律责任和后果；⑤采购人有权利委托相关监管机构或致函报告出具机构查询真伪；⑥不符合以上要求的作虚假响应处理，投标人在投标文件中需提供符合或优于以上要求条款的承诺书（排版格式自拟）并加盖投标人鲜章。</w:t>
      </w:r>
    </w:p>
    <w:p w14:paraId="00A02E0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2、签订合同时，要求提供技术参数中要求的检验报告以及其它相关证明资料原件并在官方网站下载进行核查；供应商应当配合采购人提供相应原件及其他相关资料（包括但不限于检验报告原件、该批次检验报告送检或抽样委托单据、该批次检验报告检验发票原件、与该批次检验报告商标或品牌一致的原材料进货发票原件等），经核实涉嫌造假的，采购人将按照政府采购相关法律法规处理。投标人在投标文件中需提供承诺书（排版格式自拟）并加盖投标人鲜章。</w:t>
      </w:r>
    </w:p>
    <w:p w14:paraId="4F153120">
      <w:pPr>
        <w:ind w:firstLine="480" w:firstLineChars="200"/>
        <w:rPr>
          <w:rFonts w:hint="eastAsia"/>
          <w:sz w:val="24"/>
          <w:szCs w:val="24"/>
          <w:lang w:val="en-US" w:eastAsia="zh-CN"/>
        </w:rPr>
      </w:pPr>
      <w:r>
        <w:rPr>
          <w:rFonts w:hint="eastAsia"/>
          <w:sz w:val="24"/>
          <w:szCs w:val="24"/>
          <w:lang w:val="en-US" w:eastAsia="zh-CN"/>
        </w:rPr>
        <w:t>3、货物生产前及生产期间，采购人有权对货物生产过程进行全程监造，并有权就中标人对本项目的备料单进行抽检，中标人在生产前需提供所有用于本项目的外购材料的进货单或发票复印件交采购人进行审查，并提供与采购批次相符的检验合格报告。对于无法提供有效进货证明及检验不合格的材料，采购人有权拒绝该材料投入生产，若该材料已投入生产，采购人有权不接受由该材料所生产的货物。对不合格的货物采购人有权拒绝结算付款，中标人须更换成合格的货物。投标人在投标文件中需提供承诺书（排版格式自拟）并加盖投标人鲜章。</w:t>
      </w:r>
    </w:p>
    <w:p w14:paraId="0E9D334D">
      <w:pPr>
        <w:pStyle w:val="2"/>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02包  洗手槽、晾衣架</w:t>
      </w:r>
    </w:p>
    <w:p w14:paraId="5B0D7E66">
      <w:pPr>
        <w:rPr>
          <w:rFonts w:hint="default"/>
          <w:b w:val="0"/>
          <w:bCs w:val="0"/>
          <w:sz w:val="24"/>
          <w:szCs w:val="24"/>
          <w:lang w:val="en-US" w:eastAsia="zh-CN"/>
        </w:rPr>
      </w:pPr>
      <w:r>
        <w:rPr>
          <w:rFonts w:hint="eastAsia"/>
          <w:b w:val="0"/>
          <w:bCs w:val="0"/>
          <w:sz w:val="24"/>
          <w:szCs w:val="24"/>
          <w:lang w:val="en-US" w:eastAsia="zh-CN"/>
        </w:rPr>
        <w:t>（一）304不锈钢洗手槽：6组</w:t>
      </w:r>
    </w:p>
    <w:p w14:paraId="028EDFF3">
      <w:pPr>
        <w:rPr>
          <w:rFonts w:hint="eastAsia"/>
          <w:sz w:val="24"/>
          <w:szCs w:val="24"/>
          <w:lang w:val="en-US" w:eastAsia="zh-CN"/>
        </w:rPr>
      </w:pPr>
      <w:r>
        <w:rPr>
          <w:rFonts w:hint="eastAsia"/>
          <w:sz w:val="24"/>
          <w:szCs w:val="24"/>
          <w:lang w:val="en-US" w:eastAsia="zh-CN"/>
        </w:rPr>
        <w:t>1、参考图片：</w:t>
      </w:r>
    </w:p>
    <w:p w14:paraId="1EDDBCA2">
      <w:pPr>
        <w:rPr>
          <w:rFonts w:hint="default"/>
          <w:sz w:val="24"/>
          <w:szCs w:val="24"/>
          <w:lang w:val="en-US" w:eastAsia="zh-CN"/>
        </w:rPr>
      </w:pPr>
      <w:r>
        <w:rPr>
          <w:rFonts w:hint="eastAsia" w:eastAsiaTheme="minorEastAsia"/>
          <w:sz w:val="24"/>
          <w:szCs w:val="24"/>
          <w:lang w:eastAsia="zh-CN"/>
        </w:rPr>
        <w:drawing>
          <wp:inline distT="0" distB="0" distL="114300" distR="114300">
            <wp:extent cx="5260975" cy="3714115"/>
            <wp:effectExtent l="0" t="0" r="15875" b="635"/>
            <wp:docPr id="2" name="图片 2" descr="颐康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颐康图形1"/>
                    <pic:cNvPicPr>
                      <a:picLocks noChangeAspect="1"/>
                    </pic:cNvPicPr>
                  </pic:nvPicPr>
                  <pic:blipFill>
                    <a:blip r:embed="rId5"/>
                    <a:stretch>
                      <a:fillRect/>
                    </a:stretch>
                  </pic:blipFill>
                  <pic:spPr>
                    <a:xfrm>
                      <a:off x="0" y="0"/>
                      <a:ext cx="5260975" cy="3714115"/>
                    </a:xfrm>
                    <a:prstGeom prst="rect">
                      <a:avLst/>
                    </a:prstGeom>
                  </pic:spPr>
                </pic:pic>
              </a:graphicData>
            </a:graphic>
          </wp:inline>
        </w:drawing>
      </w:r>
    </w:p>
    <w:p w14:paraId="4EB9A430">
      <w:pPr>
        <w:rPr>
          <w:rFonts w:hint="default"/>
          <w:sz w:val="24"/>
          <w:szCs w:val="24"/>
          <w:lang w:val="en-US" w:eastAsia="zh-CN"/>
        </w:rPr>
      </w:pPr>
    </w:p>
    <w:p w14:paraId="3102E9B9">
      <w:pPr>
        <w:numPr>
          <w:ilvl w:val="0"/>
          <w:numId w:val="1"/>
        </w:numPr>
        <w:rPr>
          <w:rFonts w:hint="eastAsia"/>
          <w:sz w:val="24"/>
          <w:szCs w:val="24"/>
          <w:lang w:val="en-US" w:eastAsia="zh-CN"/>
        </w:rPr>
      </w:pPr>
      <w:r>
        <w:rPr>
          <w:rFonts w:hint="eastAsia"/>
          <w:sz w:val="24"/>
          <w:szCs w:val="24"/>
          <w:lang w:val="en-US" w:eastAsia="zh-CN"/>
        </w:rPr>
        <w:t>参数要求：</w:t>
      </w:r>
    </w:p>
    <w:p w14:paraId="08B58AD7">
      <w:pPr>
        <w:numPr>
          <w:ilvl w:val="0"/>
          <w:numId w:val="2"/>
        </w:numPr>
        <w:rPr>
          <w:rFonts w:hint="eastAsia"/>
          <w:sz w:val="24"/>
          <w:szCs w:val="24"/>
          <w:lang w:val="en-US" w:eastAsia="zh-CN"/>
        </w:rPr>
      </w:pPr>
      <w:r>
        <w:rPr>
          <w:rFonts w:hint="eastAsia"/>
          <w:sz w:val="24"/>
          <w:szCs w:val="24"/>
          <w:lang w:val="en-US" w:eastAsia="zh-CN"/>
        </w:rPr>
        <w:t>洗手槽规格为：2000mm*600mm*800mm；</w:t>
      </w:r>
    </w:p>
    <w:p w14:paraId="6C534D18">
      <w:pPr>
        <w:numPr>
          <w:ilvl w:val="0"/>
          <w:numId w:val="2"/>
        </w:numPr>
        <w:rPr>
          <w:rFonts w:hint="default"/>
          <w:sz w:val="24"/>
          <w:szCs w:val="24"/>
          <w:lang w:val="en-US" w:eastAsia="zh-CN"/>
        </w:rPr>
      </w:pPr>
      <w:r>
        <w:rPr>
          <w:rFonts w:hint="eastAsia"/>
          <w:sz w:val="24"/>
          <w:szCs w:val="24"/>
          <w:lang w:val="en-US" w:eastAsia="zh-CN"/>
        </w:rPr>
        <w:t>水槽用一次性压铸成型；水槽深度为250mm，中间做一个直径为100mm的排水口；洗手槽上面靠墙处做一个100mm*30mm的挡板，下面二组对开门；</w:t>
      </w:r>
    </w:p>
    <w:p w14:paraId="4E39B666">
      <w:pPr>
        <w:numPr>
          <w:ilvl w:val="0"/>
          <w:numId w:val="2"/>
        </w:numPr>
        <w:rPr>
          <w:rFonts w:hint="eastAsia"/>
          <w:sz w:val="24"/>
          <w:szCs w:val="24"/>
          <w:lang w:val="en-US" w:eastAsia="zh-CN"/>
        </w:rPr>
      </w:pPr>
      <w:r>
        <w:rPr>
          <w:rFonts w:hint="eastAsia"/>
          <w:sz w:val="24"/>
          <w:szCs w:val="24"/>
          <w:lang w:val="en-US" w:eastAsia="zh-CN"/>
        </w:rPr>
        <w:t>制造材料：洗手槽全部用1.0mm厚304不锈钢板制作；</w:t>
      </w:r>
    </w:p>
    <w:p w14:paraId="1F3343FA">
      <w:pPr>
        <w:rPr>
          <w:rFonts w:hint="default"/>
          <w:b w:val="0"/>
          <w:bCs w:val="0"/>
          <w:sz w:val="24"/>
          <w:szCs w:val="24"/>
          <w:lang w:val="en-US" w:eastAsia="zh-CN"/>
        </w:rPr>
      </w:pPr>
      <w:r>
        <w:rPr>
          <w:rFonts w:hint="eastAsia"/>
          <w:b w:val="0"/>
          <w:bCs w:val="0"/>
          <w:sz w:val="24"/>
          <w:szCs w:val="24"/>
          <w:lang w:val="en-US" w:eastAsia="zh-CN"/>
        </w:rPr>
        <w:t>（二）304不锈钢晾衣架：3组</w:t>
      </w:r>
    </w:p>
    <w:p w14:paraId="623B1E4E">
      <w:pPr>
        <w:rPr>
          <w:rFonts w:hint="eastAsia"/>
          <w:sz w:val="24"/>
          <w:szCs w:val="24"/>
          <w:lang w:val="en-US" w:eastAsia="zh-CN"/>
        </w:rPr>
      </w:pPr>
      <w:r>
        <w:rPr>
          <w:rFonts w:hint="eastAsia"/>
          <w:sz w:val="24"/>
          <w:szCs w:val="24"/>
          <w:lang w:val="en-US" w:eastAsia="zh-CN"/>
        </w:rPr>
        <w:t>1、参考图片：</w:t>
      </w:r>
    </w:p>
    <w:p w14:paraId="7A056DF3">
      <w:pPr>
        <w:rPr>
          <w:rFonts w:hint="default"/>
          <w:sz w:val="24"/>
          <w:szCs w:val="24"/>
          <w:lang w:val="en-US" w:eastAsia="zh-CN"/>
        </w:rPr>
      </w:pPr>
      <w:r>
        <w:rPr>
          <w:rFonts w:hint="eastAsia" w:eastAsiaTheme="minorEastAsia"/>
          <w:sz w:val="24"/>
          <w:szCs w:val="24"/>
          <w:lang w:eastAsia="zh-CN"/>
        </w:rPr>
        <w:drawing>
          <wp:inline distT="0" distB="0" distL="114300" distR="114300">
            <wp:extent cx="5114290" cy="3839845"/>
            <wp:effectExtent l="0" t="0" r="10160" b="8255"/>
            <wp:docPr id="4" name="图片 4" descr="颐康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颐康图形2"/>
                    <pic:cNvPicPr>
                      <a:picLocks noChangeAspect="1"/>
                    </pic:cNvPicPr>
                  </pic:nvPicPr>
                  <pic:blipFill>
                    <a:blip r:embed="rId6"/>
                    <a:stretch>
                      <a:fillRect/>
                    </a:stretch>
                  </pic:blipFill>
                  <pic:spPr>
                    <a:xfrm>
                      <a:off x="0" y="0"/>
                      <a:ext cx="5114290" cy="3839845"/>
                    </a:xfrm>
                    <a:prstGeom prst="rect">
                      <a:avLst/>
                    </a:prstGeom>
                  </pic:spPr>
                </pic:pic>
              </a:graphicData>
            </a:graphic>
          </wp:inline>
        </w:drawing>
      </w:r>
    </w:p>
    <w:p w14:paraId="5EDFE340">
      <w:pPr>
        <w:rPr>
          <w:rFonts w:hint="default"/>
          <w:sz w:val="24"/>
          <w:szCs w:val="24"/>
          <w:lang w:val="en-US" w:eastAsia="zh-CN"/>
        </w:rPr>
      </w:pPr>
      <w:bookmarkStart w:id="5" w:name="_GoBack"/>
      <w:bookmarkEnd w:id="5"/>
    </w:p>
    <w:p w14:paraId="4F8A9B23">
      <w:pPr>
        <w:numPr>
          <w:ilvl w:val="0"/>
          <w:numId w:val="0"/>
        </w:numPr>
        <w:rPr>
          <w:rFonts w:hint="eastAsia"/>
          <w:sz w:val="24"/>
          <w:szCs w:val="24"/>
          <w:lang w:val="en-US" w:eastAsia="zh-CN"/>
        </w:rPr>
      </w:pPr>
      <w:r>
        <w:rPr>
          <w:rFonts w:hint="eastAsia"/>
          <w:sz w:val="24"/>
          <w:szCs w:val="24"/>
          <w:lang w:val="en-US" w:eastAsia="zh-CN"/>
        </w:rPr>
        <w:t>2、参数要求：</w:t>
      </w:r>
    </w:p>
    <w:p w14:paraId="523A1849">
      <w:pPr>
        <w:numPr>
          <w:ilvl w:val="0"/>
          <w:numId w:val="3"/>
        </w:numPr>
        <w:rPr>
          <w:rFonts w:hint="eastAsia"/>
          <w:sz w:val="24"/>
          <w:szCs w:val="24"/>
          <w:lang w:val="en-US" w:eastAsia="zh-CN"/>
        </w:rPr>
      </w:pPr>
      <w:r>
        <w:rPr>
          <w:rFonts w:hint="eastAsia"/>
          <w:sz w:val="24"/>
          <w:szCs w:val="24"/>
          <w:lang w:val="en-US" w:eastAsia="zh-CN"/>
        </w:rPr>
        <w:t>晾衣架规格为：1400mm*500mm*1800mm；</w:t>
      </w:r>
    </w:p>
    <w:p w14:paraId="13BC7D98">
      <w:pPr>
        <w:numPr>
          <w:ilvl w:val="0"/>
          <w:numId w:val="3"/>
        </w:numPr>
        <w:rPr>
          <w:rFonts w:hint="eastAsia"/>
          <w:sz w:val="24"/>
          <w:szCs w:val="24"/>
          <w:lang w:val="en-US" w:eastAsia="zh-CN"/>
        </w:rPr>
      </w:pPr>
      <w:r>
        <w:rPr>
          <w:rFonts w:hint="eastAsia"/>
          <w:sz w:val="24"/>
          <w:szCs w:val="24"/>
          <w:lang w:val="en-US" w:eastAsia="zh-CN"/>
        </w:rPr>
        <w:t>晾衣架下面做一个深度为50mm的接水盘；中间开一个直径100mm的排水口；</w:t>
      </w:r>
    </w:p>
    <w:p w14:paraId="31A89140">
      <w:pPr>
        <w:numPr>
          <w:ilvl w:val="0"/>
          <w:numId w:val="3"/>
        </w:numPr>
        <w:rPr>
          <w:rFonts w:hint="default"/>
          <w:sz w:val="24"/>
          <w:szCs w:val="24"/>
          <w:lang w:val="en-US" w:eastAsia="zh-CN"/>
        </w:rPr>
      </w:pPr>
      <w:r>
        <w:rPr>
          <w:rFonts w:hint="eastAsia"/>
          <w:sz w:val="24"/>
          <w:szCs w:val="24"/>
          <w:lang w:val="en-US" w:eastAsia="zh-CN"/>
        </w:rPr>
        <w:t>晾衣架全部采用304材质的矩管、圆管制作，脚轮用直径为75mm静音轮，四轮带刹；</w:t>
      </w:r>
    </w:p>
    <w:p w14:paraId="67DB0FD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商务要求</w:t>
      </w:r>
    </w:p>
    <w:p w14:paraId="2550167A">
      <w:pPr>
        <w:pStyle w:val="2"/>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01包  屏风工作台</w:t>
      </w:r>
    </w:p>
    <w:p w14:paraId="15873A7C">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1.交货期：合同签订后25个工作日内完成货物交付。</w:t>
      </w:r>
    </w:p>
    <w:p w14:paraId="73F79BC3">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2.交货及安装地点：三台县人民医院指定地点。</w:t>
      </w:r>
    </w:p>
    <w:p w14:paraId="03BAD84F">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3.质保期：5年，如国家或行业标准期限长于本项目质保期的，按国家或行业标准执行。</w:t>
      </w:r>
    </w:p>
    <w:p w14:paraId="489A4CC3">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4.付款方式：货到安装验收合格1个月内付合同总价的95% ，验收合格使用满1年后1个月内付合同总价的5% 。</w:t>
      </w:r>
    </w:p>
    <w:p w14:paraId="514FD835">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5.售后服务：保修期内接到报修电话半小时内响应，远程不能有效解决问题，24小时内到达现场，所有人工费、材料费、差旅费等各种费用由中标方支付。终生维修。保修期外费用双方协商确定。</w:t>
      </w:r>
    </w:p>
    <w:p w14:paraId="39BBC4B8">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6.安装调试完成后中标方派专业技术人员对医院相关技术人员进行培训，直至能独立操作，并同时能完成一般常见故障的维修处理。</w:t>
      </w:r>
    </w:p>
    <w:p w14:paraId="15576D1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02包  洗手槽、晾衣架</w:t>
      </w:r>
    </w:p>
    <w:p w14:paraId="1533AC40">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1.交货期：合同签订后15个工作日内完成货物交付。</w:t>
      </w:r>
    </w:p>
    <w:p w14:paraId="28787E98">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2.交货及安装地点：三台县人民医院指定地点。</w:t>
      </w:r>
    </w:p>
    <w:p w14:paraId="2B776D48">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3.质保期：1年，如国家或行业标准期限长于本项目质保期的，按国家或行业标准执行。</w:t>
      </w:r>
    </w:p>
    <w:p w14:paraId="550D4D32">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4.付款方式：货到安装验收合格1个月内付合同总价的70% ，验收合格半年后1个月内付合同总价的20% ，验收合格一年后1个月内付合同总价10% 。</w:t>
      </w:r>
    </w:p>
    <w:p w14:paraId="5FD71CFC">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5.售后服务：保修期内接到报修电话半小时内响应，远程不能有效解决问题，24小时内到达现场，所有人工费、材料费、差旅费等各种费用由中标方支付。终生维修。保修期外费用双方协商确定。</w:t>
      </w:r>
    </w:p>
    <w:p w14:paraId="01EE5AEC">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6.安装调试完成后中标方派专业技术人员对医院相关技术人员进行培训，直至能独立操作，并同时能完成一般常见故障的维修处理。</w:t>
      </w:r>
    </w:p>
    <w:p w14:paraId="089D0315">
      <w:pPr>
        <w:pStyle w:val="6"/>
        <w:ind w:left="0" w:leftChars="0" w:firstLine="0" w:firstLineChars="0"/>
        <w:rPr>
          <w:rFonts w:hint="eastAsia" w:ascii="黑体" w:hAnsi="黑体" w:eastAsia="黑体" w:cs="黑体"/>
          <w:b w:val="0"/>
          <w:bCs/>
          <w:color w:val="000000"/>
          <w:sz w:val="28"/>
          <w:szCs w:val="28"/>
          <w:highlight w:val="none"/>
        </w:rPr>
      </w:pPr>
    </w:p>
    <w:p w14:paraId="26F229BC">
      <w:pPr>
        <w:rPr>
          <w:rFonts w:hint="eastAsia" w:ascii="黑体" w:hAnsi="黑体" w:eastAsia="黑体" w:cs="黑体"/>
          <w:b w:val="0"/>
          <w:bCs/>
          <w:color w:val="000000"/>
          <w:sz w:val="28"/>
          <w:szCs w:val="28"/>
          <w:highlight w:val="none"/>
        </w:rPr>
      </w:pPr>
      <w:r>
        <w:rPr>
          <w:rFonts w:hint="eastAsia" w:ascii="黑体" w:hAnsi="黑体" w:eastAsia="黑体" w:cs="黑体"/>
          <w:b w:val="0"/>
          <w:bCs/>
          <w:color w:val="000000"/>
          <w:sz w:val="28"/>
          <w:szCs w:val="28"/>
          <w:highlight w:val="none"/>
        </w:rPr>
        <w:br w:type="page"/>
      </w:r>
    </w:p>
    <w:p w14:paraId="26A495AF">
      <w:pPr>
        <w:pStyle w:val="6"/>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2</w:t>
      </w:r>
    </w:p>
    <w:p w14:paraId="7C78EF74">
      <w:pPr>
        <w:pStyle w:val="6"/>
        <w:ind w:left="0" w:leftChars="0" w:firstLine="0" w:firstLineChars="0"/>
        <w:rPr>
          <w:rFonts w:hint="eastAsia" w:eastAsia="黑体"/>
          <w:sz w:val="21"/>
          <w:szCs w:val="21"/>
          <w:lang w:val="en-US" w:eastAsia="zh-CN"/>
        </w:rPr>
      </w:pP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sz w:val="28"/>
          <w:szCs w:val="28"/>
        </w:rPr>
        <w:t>项目</w:t>
      </w:r>
      <w:r>
        <w:rPr>
          <w:rFonts w:hint="eastAsia" w:ascii="宋体" w:hAnsi="宋体" w:cs="宋体"/>
          <w:b/>
          <w:sz w:val="28"/>
          <w:szCs w:val="28"/>
          <w:lang w:eastAsia="zh-CN"/>
        </w:rPr>
        <w:t>名称</w:t>
      </w:r>
      <w:r>
        <w:rPr>
          <w:rFonts w:hint="eastAsia" w:ascii="宋体" w:hAnsi="宋体" w:cs="宋体"/>
          <w:b/>
          <w:sz w:val="28"/>
          <w:szCs w:val="28"/>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6"/>
        <w:rPr>
          <w:sz w:val="21"/>
          <w:szCs w:val="21"/>
        </w:rPr>
      </w:pPr>
    </w:p>
    <w:p w14:paraId="69B23A65">
      <w:pPr>
        <w:pStyle w:val="6"/>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4564CB84">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3"/>
        <w:tblW w:w="9151"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799"/>
        <w:gridCol w:w="1715"/>
        <w:gridCol w:w="1500"/>
        <w:gridCol w:w="1693"/>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799" w:type="dxa"/>
            <w:vAlign w:val="center"/>
          </w:tcPr>
          <w:p w14:paraId="1872F1E1">
            <w:pPr>
              <w:jc w:val="center"/>
              <w:rPr>
                <w:rFonts w:hint="eastAsia"/>
                <w:b/>
                <w:bCs/>
                <w:sz w:val="24"/>
                <w:szCs w:val="24"/>
                <w:vertAlign w:val="baseline"/>
                <w:lang w:val="en-US" w:eastAsia="zh-CN"/>
              </w:rPr>
            </w:pPr>
            <w:r>
              <w:rPr>
                <w:rFonts w:hint="eastAsia"/>
                <w:b/>
                <w:bCs/>
                <w:sz w:val="24"/>
                <w:szCs w:val="24"/>
                <w:vertAlign w:val="baseline"/>
                <w:lang w:val="en-US" w:eastAsia="zh-CN"/>
              </w:rPr>
              <w:t>单位</w:t>
            </w:r>
          </w:p>
        </w:tc>
        <w:tc>
          <w:tcPr>
            <w:tcW w:w="1715"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500"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报价（万元）</w:t>
            </w:r>
          </w:p>
        </w:tc>
        <w:tc>
          <w:tcPr>
            <w:tcW w:w="1693"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799" w:type="dxa"/>
            <w:vAlign w:val="top"/>
          </w:tcPr>
          <w:p w14:paraId="0BFA589A">
            <w:pPr>
              <w:jc w:val="center"/>
              <w:rPr>
                <w:rFonts w:hint="eastAsia"/>
                <w:vertAlign w:val="baseline"/>
                <w:lang w:val="en-US" w:eastAsia="zh-CN"/>
              </w:rPr>
            </w:pPr>
          </w:p>
        </w:tc>
        <w:tc>
          <w:tcPr>
            <w:tcW w:w="1715" w:type="dxa"/>
            <w:vAlign w:val="top"/>
          </w:tcPr>
          <w:p w14:paraId="59D433A1">
            <w:pPr>
              <w:jc w:val="center"/>
              <w:rPr>
                <w:rFonts w:hint="eastAsia"/>
                <w:vertAlign w:val="baseline"/>
                <w:lang w:val="en-US" w:eastAsia="zh-CN"/>
              </w:rPr>
            </w:pPr>
          </w:p>
        </w:tc>
        <w:tc>
          <w:tcPr>
            <w:tcW w:w="1500" w:type="dxa"/>
            <w:vAlign w:val="top"/>
          </w:tcPr>
          <w:p w14:paraId="7E3523AE">
            <w:pPr>
              <w:jc w:val="center"/>
              <w:rPr>
                <w:rFonts w:hint="eastAsia"/>
                <w:vertAlign w:val="baseline"/>
                <w:lang w:val="en-US" w:eastAsia="zh-CN"/>
              </w:rPr>
            </w:pPr>
          </w:p>
        </w:tc>
        <w:tc>
          <w:tcPr>
            <w:tcW w:w="1693"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799" w:type="dxa"/>
            <w:vAlign w:val="top"/>
          </w:tcPr>
          <w:p w14:paraId="499A4A80">
            <w:pPr>
              <w:jc w:val="center"/>
              <w:rPr>
                <w:rFonts w:hint="eastAsia"/>
                <w:vertAlign w:val="baseline"/>
                <w:lang w:val="en-US" w:eastAsia="zh-CN"/>
              </w:rPr>
            </w:pPr>
          </w:p>
        </w:tc>
        <w:tc>
          <w:tcPr>
            <w:tcW w:w="1715" w:type="dxa"/>
            <w:vAlign w:val="top"/>
          </w:tcPr>
          <w:p w14:paraId="7733B55F">
            <w:pPr>
              <w:jc w:val="center"/>
              <w:rPr>
                <w:rFonts w:hint="eastAsia"/>
                <w:vertAlign w:val="baseline"/>
                <w:lang w:val="en-US" w:eastAsia="zh-CN"/>
              </w:rPr>
            </w:pPr>
          </w:p>
        </w:tc>
        <w:tc>
          <w:tcPr>
            <w:tcW w:w="1500" w:type="dxa"/>
            <w:vAlign w:val="top"/>
          </w:tcPr>
          <w:p w14:paraId="47DCB9CB">
            <w:pPr>
              <w:jc w:val="center"/>
              <w:rPr>
                <w:rFonts w:hint="eastAsia"/>
                <w:vertAlign w:val="baseline"/>
                <w:lang w:val="en-US" w:eastAsia="zh-CN"/>
              </w:rPr>
            </w:pPr>
          </w:p>
        </w:tc>
        <w:tc>
          <w:tcPr>
            <w:tcW w:w="1693"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799" w:type="dxa"/>
            <w:vAlign w:val="top"/>
          </w:tcPr>
          <w:p w14:paraId="22CE5222">
            <w:pPr>
              <w:jc w:val="center"/>
              <w:rPr>
                <w:rFonts w:hint="eastAsia"/>
                <w:vertAlign w:val="baseline"/>
                <w:lang w:val="en-US" w:eastAsia="zh-CN"/>
              </w:rPr>
            </w:pPr>
          </w:p>
        </w:tc>
        <w:tc>
          <w:tcPr>
            <w:tcW w:w="1715" w:type="dxa"/>
            <w:vAlign w:val="top"/>
          </w:tcPr>
          <w:p w14:paraId="2F584DD5">
            <w:pPr>
              <w:jc w:val="center"/>
              <w:rPr>
                <w:rFonts w:hint="eastAsia"/>
                <w:vertAlign w:val="baseline"/>
                <w:lang w:val="en-US" w:eastAsia="zh-CN"/>
              </w:rPr>
            </w:pPr>
          </w:p>
        </w:tc>
        <w:tc>
          <w:tcPr>
            <w:tcW w:w="1500" w:type="dxa"/>
            <w:vAlign w:val="top"/>
          </w:tcPr>
          <w:p w14:paraId="408EF425">
            <w:pPr>
              <w:jc w:val="center"/>
              <w:rPr>
                <w:rFonts w:hint="eastAsia"/>
                <w:vertAlign w:val="baseline"/>
                <w:lang w:val="en-US" w:eastAsia="zh-CN"/>
              </w:rPr>
            </w:pPr>
          </w:p>
        </w:tc>
        <w:tc>
          <w:tcPr>
            <w:tcW w:w="1693"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799" w:type="dxa"/>
            <w:vAlign w:val="top"/>
          </w:tcPr>
          <w:p w14:paraId="31F54A50">
            <w:pPr>
              <w:jc w:val="center"/>
              <w:rPr>
                <w:rFonts w:hint="eastAsia"/>
                <w:vertAlign w:val="baseline"/>
                <w:lang w:val="en-US" w:eastAsia="zh-CN"/>
              </w:rPr>
            </w:pPr>
          </w:p>
        </w:tc>
        <w:tc>
          <w:tcPr>
            <w:tcW w:w="1715" w:type="dxa"/>
            <w:vAlign w:val="top"/>
          </w:tcPr>
          <w:p w14:paraId="105CD1ED">
            <w:pPr>
              <w:jc w:val="center"/>
              <w:rPr>
                <w:rFonts w:hint="eastAsia"/>
                <w:vertAlign w:val="baseline"/>
                <w:lang w:val="en-US" w:eastAsia="zh-CN"/>
              </w:rPr>
            </w:pPr>
          </w:p>
        </w:tc>
        <w:tc>
          <w:tcPr>
            <w:tcW w:w="1500" w:type="dxa"/>
            <w:vAlign w:val="top"/>
          </w:tcPr>
          <w:p w14:paraId="5111F17D">
            <w:pPr>
              <w:jc w:val="center"/>
              <w:rPr>
                <w:rFonts w:hint="eastAsia"/>
                <w:vertAlign w:val="baseline"/>
                <w:lang w:val="en-US" w:eastAsia="zh-CN"/>
              </w:rPr>
            </w:pPr>
          </w:p>
        </w:tc>
        <w:tc>
          <w:tcPr>
            <w:tcW w:w="1693"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5B7649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7009548F">
      <w:pPr>
        <w:pStyle w:val="9"/>
        <w:spacing w:line="500" w:lineRule="exact"/>
        <w:ind w:left="0" w:leftChars="0"/>
        <w:jc w:val="center"/>
        <w:rPr>
          <w:rFonts w:hint="eastAsia" w:ascii="宋体" w:hAnsi="宋体"/>
          <w:b/>
          <w:color w:val="000000"/>
          <w:sz w:val="32"/>
          <w:szCs w:val="32"/>
          <w:highlight w:val="none"/>
        </w:rPr>
      </w:pPr>
    </w:p>
    <w:p w14:paraId="3B787061">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44955872">
      <w:pPr>
        <w:widowControl/>
        <w:spacing w:line="360" w:lineRule="auto"/>
        <w:jc w:val="center"/>
        <w:outlineLvl w:val="1"/>
        <w:rPr>
          <w:rFonts w:ascii="Times New Roman" w:hAnsi="Times New Roman"/>
          <w:color w:val="auto"/>
          <w:kern w:val="0"/>
          <w:sz w:val="24"/>
          <w:szCs w:val="20"/>
        </w:rPr>
      </w:pPr>
      <w:bookmarkStart w:id="0" w:name="_Toc40447269"/>
      <w:bookmarkStart w:id="1" w:name="_Toc34051807"/>
      <w:bookmarkStart w:id="2" w:name="_Toc33698134"/>
      <w:bookmarkStart w:id="3" w:name="_Toc33709795"/>
      <w:bookmarkStart w:id="4" w:name="_Toc52036328"/>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6"/>
        <w:rPr>
          <w:b/>
          <w:color w:val="000000"/>
          <w:sz w:val="24"/>
          <w:highlight w:val="none"/>
        </w:rPr>
      </w:pPr>
    </w:p>
    <w:p w14:paraId="4CC36E72">
      <w:pPr>
        <w:rPr>
          <w:b/>
          <w:color w:val="000000"/>
          <w:sz w:val="24"/>
          <w:highlight w:val="none"/>
        </w:rPr>
      </w:pPr>
    </w:p>
    <w:p w14:paraId="7CDFF586">
      <w:pPr>
        <w:pStyle w:val="6"/>
        <w:rPr>
          <w:b/>
          <w:color w:val="000000"/>
          <w:sz w:val="24"/>
          <w:highlight w:val="none"/>
        </w:rPr>
      </w:pPr>
    </w:p>
    <w:p w14:paraId="3E57AAC0">
      <w:pPr>
        <w:rPr>
          <w:b/>
          <w:color w:val="000000"/>
          <w:sz w:val="24"/>
          <w:highlight w:val="none"/>
        </w:rPr>
      </w:pPr>
    </w:p>
    <w:p w14:paraId="44CA7AF6">
      <w:pPr>
        <w:pStyle w:val="6"/>
        <w:rPr>
          <w:b/>
          <w:color w:val="000000"/>
          <w:sz w:val="24"/>
          <w:highlight w:val="none"/>
        </w:rPr>
      </w:pPr>
    </w:p>
    <w:p w14:paraId="43D77A00">
      <w:pPr>
        <w:rPr>
          <w:b/>
          <w:color w:val="000000"/>
          <w:sz w:val="24"/>
          <w:highlight w:val="none"/>
        </w:rPr>
      </w:pPr>
    </w:p>
    <w:p w14:paraId="127FBF71">
      <w:pPr>
        <w:pStyle w:val="6"/>
        <w:rPr>
          <w:b/>
          <w:color w:val="000000"/>
          <w:sz w:val="24"/>
          <w:highlight w:val="none"/>
        </w:rPr>
      </w:pPr>
    </w:p>
    <w:p w14:paraId="44A15C54">
      <w:pPr>
        <w:rPr>
          <w:b/>
          <w:color w:val="000000"/>
          <w:sz w:val="24"/>
          <w:highlight w:val="none"/>
        </w:rPr>
      </w:pPr>
    </w:p>
    <w:p w14:paraId="24F8AB7D">
      <w:pPr>
        <w:pStyle w:val="6"/>
        <w:rPr>
          <w:b/>
          <w:color w:val="000000"/>
          <w:sz w:val="24"/>
          <w:highlight w:val="none"/>
        </w:rPr>
      </w:pPr>
    </w:p>
    <w:p w14:paraId="02CDA921">
      <w:pPr>
        <w:rPr>
          <w:b/>
          <w:color w:val="000000"/>
          <w:sz w:val="24"/>
          <w:highlight w:val="none"/>
        </w:rPr>
      </w:pPr>
    </w:p>
    <w:p w14:paraId="1E735054">
      <w:pPr>
        <w:pStyle w:val="6"/>
        <w:rPr>
          <w:b/>
          <w:color w:val="000000"/>
          <w:sz w:val="24"/>
          <w:highlight w:val="none"/>
        </w:rPr>
      </w:pPr>
    </w:p>
    <w:p w14:paraId="651BBF9E">
      <w:pPr>
        <w:rPr>
          <w:b/>
          <w:color w:val="000000"/>
          <w:sz w:val="24"/>
          <w:highlight w:val="none"/>
        </w:rPr>
      </w:pPr>
    </w:p>
    <w:p w14:paraId="001E19E1">
      <w:pPr>
        <w:pStyle w:val="6"/>
        <w:rPr>
          <w:b/>
          <w:color w:val="000000"/>
          <w:sz w:val="24"/>
          <w:highlight w:val="none"/>
        </w:rPr>
      </w:pPr>
    </w:p>
    <w:p w14:paraId="45A89F8C">
      <w:pPr>
        <w:rPr>
          <w:b/>
          <w:color w:val="000000"/>
          <w:sz w:val="24"/>
          <w:highlight w:val="none"/>
        </w:rPr>
      </w:pPr>
    </w:p>
    <w:p w14:paraId="332834D2">
      <w:pPr>
        <w:pStyle w:val="6"/>
        <w:rPr>
          <w:b/>
          <w:color w:val="000000"/>
          <w:sz w:val="24"/>
          <w:highlight w:val="none"/>
        </w:rPr>
      </w:pPr>
    </w:p>
    <w:p w14:paraId="55FC00F8">
      <w:pPr>
        <w:rPr>
          <w:b/>
          <w:color w:val="000000"/>
          <w:sz w:val="24"/>
          <w:highlight w:val="none"/>
        </w:rPr>
      </w:pPr>
    </w:p>
    <w:p w14:paraId="4722AD0C">
      <w:pPr>
        <w:pStyle w:val="6"/>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6"/>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6"/>
        <w:rPr>
          <w:highlight w:val="none"/>
        </w:rPr>
      </w:pPr>
    </w:p>
    <w:p w14:paraId="66F3C027">
      <w:pPr>
        <w:rPr>
          <w:highlight w:val="none"/>
        </w:rPr>
      </w:pPr>
    </w:p>
    <w:p w14:paraId="51653658">
      <w:pPr>
        <w:pStyle w:val="6"/>
        <w:rPr>
          <w:highlight w:val="none"/>
        </w:rPr>
      </w:pPr>
    </w:p>
    <w:p w14:paraId="1CFF9841">
      <w:pPr>
        <w:rPr>
          <w:highlight w:val="none"/>
        </w:rPr>
      </w:pPr>
    </w:p>
    <w:p w14:paraId="77C3702A">
      <w:pPr>
        <w:pStyle w:val="6"/>
        <w:rPr>
          <w:highlight w:val="none"/>
        </w:rPr>
      </w:pPr>
    </w:p>
    <w:p w14:paraId="0D81E752">
      <w:pPr>
        <w:rPr>
          <w:highlight w:val="none"/>
        </w:rPr>
      </w:pPr>
    </w:p>
    <w:p w14:paraId="1257EFFC">
      <w:pPr>
        <w:pStyle w:val="6"/>
        <w:rPr>
          <w:highlight w:val="none"/>
        </w:rPr>
      </w:pPr>
    </w:p>
    <w:p w14:paraId="79516A92">
      <w:pPr>
        <w:rPr>
          <w:highlight w:val="none"/>
        </w:rPr>
      </w:pPr>
    </w:p>
    <w:p w14:paraId="457CC612">
      <w:pPr>
        <w:pStyle w:val="6"/>
        <w:rPr>
          <w:highlight w:val="none"/>
        </w:rPr>
      </w:pPr>
    </w:p>
    <w:p w14:paraId="6778B400">
      <w:pPr>
        <w:rPr>
          <w:highlight w:val="none"/>
        </w:rPr>
      </w:pPr>
    </w:p>
    <w:p w14:paraId="7671B2B8">
      <w:pPr>
        <w:pStyle w:val="6"/>
        <w:rPr>
          <w:highlight w:val="none"/>
        </w:rPr>
      </w:pPr>
    </w:p>
    <w:p w14:paraId="44A3FDE2">
      <w:pPr>
        <w:pStyle w:val="6"/>
        <w:ind w:left="0" w:leftChars="0" w:firstLine="0" w:firstLineChars="0"/>
        <w:rPr>
          <w:highlight w:val="none"/>
        </w:rPr>
      </w:pPr>
    </w:p>
    <w:p w14:paraId="135151F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6"/>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6"/>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6"/>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9"/>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6"/>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6"/>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6"/>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9"/>
        <w:spacing w:line="500" w:lineRule="exact"/>
        <w:ind w:left="0" w:leftChars="0"/>
        <w:jc w:val="center"/>
        <w:rPr>
          <w:rFonts w:hint="eastAsia" w:ascii="宋体" w:hAnsi="宋体"/>
          <w:b/>
          <w:color w:val="000000"/>
          <w:sz w:val="32"/>
          <w:szCs w:val="32"/>
          <w:highlight w:val="none"/>
        </w:rPr>
      </w:pPr>
    </w:p>
    <w:p w14:paraId="11308BFB">
      <w:pPr>
        <w:pStyle w:val="9"/>
        <w:spacing w:line="500" w:lineRule="exact"/>
        <w:ind w:left="0" w:leftChars="0"/>
        <w:jc w:val="center"/>
        <w:rPr>
          <w:rFonts w:hint="eastAsia" w:ascii="宋体" w:hAnsi="宋体"/>
          <w:b/>
          <w:color w:val="000000"/>
          <w:sz w:val="32"/>
          <w:szCs w:val="32"/>
          <w:highlight w:val="none"/>
        </w:rPr>
      </w:pPr>
    </w:p>
    <w:p w14:paraId="3B1D0680">
      <w:pPr>
        <w:pStyle w:val="9"/>
        <w:spacing w:line="500" w:lineRule="exact"/>
        <w:ind w:left="0" w:leftChars="0"/>
        <w:jc w:val="center"/>
        <w:rPr>
          <w:rFonts w:hint="eastAsia" w:ascii="宋体" w:hAnsi="宋体"/>
          <w:b/>
          <w:color w:val="000000"/>
          <w:sz w:val="32"/>
          <w:szCs w:val="32"/>
          <w:highlight w:val="none"/>
        </w:rPr>
      </w:pPr>
    </w:p>
    <w:p w14:paraId="3C5F66C3">
      <w:pPr>
        <w:pStyle w:val="9"/>
        <w:spacing w:line="500" w:lineRule="exact"/>
        <w:ind w:left="0" w:leftChars="0"/>
        <w:jc w:val="center"/>
        <w:rPr>
          <w:rFonts w:hint="eastAsia" w:ascii="宋体" w:hAnsi="宋体"/>
          <w:b/>
          <w:color w:val="000000"/>
          <w:sz w:val="32"/>
          <w:szCs w:val="32"/>
          <w:highlight w:val="none"/>
        </w:rPr>
      </w:pPr>
    </w:p>
    <w:p w14:paraId="5D55D17A">
      <w:pPr>
        <w:pStyle w:val="9"/>
        <w:spacing w:line="500" w:lineRule="exact"/>
        <w:ind w:left="0" w:leftChars="0"/>
        <w:jc w:val="center"/>
        <w:rPr>
          <w:rFonts w:hint="eastAsia" w:ascii="宋体" w:hAnsi="宋体"/>
          <w:b/>
          <w:color w:val="000000"/>
          <w:sz w:val="32"/>
          <w:szCs w:val="32"/>
          <w:highlight w:val="none"/>
        </w:rPr>
      </w:pPr>
    </w:p>
    <w:p w14:paraId="6BC765AF">
      <w:pPr>
        <w:pStyle w:val="9"/>
        <w:spacing w:line="500" w:lineRule="exact"/>
        <w:ind w:left="0" w:leftChars="0"/>
        <w:jc w:val="center"/>
        <w:rPr>
          <w:rFonts w:hint="eastAsia" w:ascii="宋体" w:hAnsi="宋体"/>
          <w:b/>
          <w:color w:val="000000"/>
          <w:sz w:val="32"/>
          <w:szCs w:val="32"/>
          <w:highlight w:val="none"/>
        </w:rPr>
      </w:pPr>
    </w:p>
    <w:p w14:paraId="7179DC41">
      <w:pPr>
        <w:pStyle w:val="9"/>
        <w:spacing w:line="500" w:lineRule="exact"/>
        <w:ind w:left="0" w:leftChars="0"/>
        <w:jc w:val="center"/>
        <w:rPr>
          <w:rFonts w:hint="eastAsia" w:ascii="宋体" w:hAnsi="宋体"/>
          <w:b/>
          <w:color w:val="000000"/>
          <w:sz w:val="32"/>
          <w:szCs w:val="32"/>
          <w:highlight w:val="none"/>
        </w:rPr>
      </w:pPr>
    </w:p>
    <w:p w14:paraId="1F7A8735">
      <w:pPr>
        <w:pStyle w:val="9"/>
        <w:spacing w:line="500" w:lineRule="exact"/>
        <w:ind w:left="0" w:leftChars="0"/>
        <w:jc w:val="center"/>
        <w:rPr>
          <w:rFonts w:hint="eastAsia" w:ascii="宋体" w:hAnsi="宋体"/>
          <w:b/>
          <w:color w:val="000000"/>
          <w:sz w:val="32"/>
          <w:szCs w:val="32"/>
          <w:highlight w:val="none"/>
        </w:rPr>
      </w:pPr>
    </w:p>
    <w:p w14:paraId="0E81A861">
      <w:pPr>
        <w:pStyle w:val="9"/>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9"/>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6"/>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6"/>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6"/>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6"/>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6"/>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68548624">
      <w:pPr>
        <w:pStyle w:val="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14:paraId="7FF6C06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26B8EB6">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EA501"/>
    <w:multiLevelType w:val="singleLevel"/>
    <w:tmpl w:val="ECFEA501"/>
    <w:lvl w:ilvl="0" w:tentative="0">
      <w:start w:val="2"/>
      <w:numFmt w:val="decimal"/>
      <w:suff w:val="nothing"/>
      <w:lvlText w:val="%1、"/>
      <w:lvlJc w:val="left"/>
    </w:lvl>
  </w:abstractNum>
  <w:abstractNum w:abstractNumId="1">
    <w:nsid w:val="F39F82EC"/>
    <w:multiLevelType w:val="singleLevel"/>
    <w:tmpl w:val="F39F82EC"/>
    <w:lvl w:ilvl="0" w:tentative="0">
      <w:start w:val="1"/>
      <w:numFmt w:val="decimal"/>
      <w:suff w:val="nothing"/>
      <w:lvlText w:val="（%1）"/>
      <w:lvlJc w:val="left"/>
    </w:lvl>
  </w:abstractNum>
  <w:abstractNum w:abstractNumId="2">
    <w:nsid w:val="45523F5F"/>
    <w:multiLevelType w:val="singleLevel"/>
    <w:tmpl w:val="45523F5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9167E5"/>
    <w:rsid w:val="02AB03DD"/>
    <w:rsid w:val="03196F07"/>
    <w:rsid w:val="032172E5"/>
    <w:rsid w:val="03632827"/>
    <w:rsid w:val="038E441F"/>
    <w:rsid w:val="050D65F7"/>
    <w:rsid w:val="05F9008E"/>
    <w:rsid w:val="061D0ABC"/>
    <w:rsid w:val="06874187"/>
    <w:rsid w:val="072E6858"/>
    <w:rsid w:val="07AA637F"/>
    <w:rsid w:val="08BA0844"/>
    <w:rsid w:val="0A1D552E"/>
    <w:rsid w:val="0B1E3820"/>
    <w:rsid w:val="0B4B2277"/>
    <w:rsid w:val="0BB30DED"/>
    <w:rsid w:val="0C681886"/>
    <w:rsid w:val="0C7644D1"/>
    <w:rsid w:val="0CC462A4"/>
    <w:rsid w:val="0D9A2076"/>
    <w:rsid w:val="0DAE46EF"/>
    <w:rsid w:val="0DF74F1C"/>
    <w:rsid w:val="0E1C293A"/>
    <w:rsid w:val="0F242EBB"/>
    <w:rsid w:val="0F427ADA"/>
    <w:rsid w:val="0FF55AF9"/>
    <w:rsid w:val="10117CD9"/>
    <w:rsid w:val="11124F95"/>
    <w:rsid w:val="11616665"/>
    <w:rsid w:val="11E670D0"/>
    <w:rsid w:val="11EA3FC3"/>
    <w:rsid w:val="11EB58FD"/>
    <w:rsid w:val="13201BEB"/>
    <w:rsid w:val="134652FC"/>
    <w:rsid w:val="13503426"/>
    <w:rsid w:val="14325B58"/>
    <w:rsid w:val="144679F0"/>
    <w:rsid w:val="14495172"/>
    <w:rsid w:val="14CE353E"/>
    <w:rsid w:val="151E74AA"/>
    <w:rsid w:val="156450CD"/>
    <w:rsid w:val="157E0E4B"/>
    <w:rsid w:val="15951D40"/>
    <w:rsid w:val="15B41605"/>
    <w:rsid w:val="15F03EF5"/>
    <w:rsid w:val="16B207CA"/>
    <w:rsid w:val="17E60341"/>
    <w:rsid w:val="17EE050A"/>
    <w:rsid w:val="18880247"/>
    <w:rsid w:val="18D75CFE"/>
    <w:rsid w:val="18DE13E4"/>
    <w:rsid w:val="19516536"/>
    <w:rsid w:val="195C0C88"/>
    <w:rsid w:val="19F1660B"/>
    <w:rsid w:val="1A2069A5"/>
    <w:rsid w:val="1C966B8C"/>
    <w:rsid w:val="1CC46C32"/>
    <w:rsid w:val="1D1A76AB"/>
    <w:rsid w:val="1D281739"/>
    <w:rsid w:val="1D4209B0"/>
    <w:rsid w:val="1DAC0C4B"/>
    <w:rsid w:val="1E652BA8"/>
    <w:rsid w:val="1F106FB8"/>
    <w:rsid w:val="1F2A7AB8"/>
    <w:rsid w:val="21032E75"/>
    <w:rsid w:val="216B2BCB"/>
    <w:rsid w:val="219934FF"/>
    <w:rsid w:val="2205092A"/>
    <w:rsid w:val="223C7CD1"/>
    <w:rsid w:val="22995516"/>
    <w:rsid w:val="23075EAE"/>
    <w:rsid w:val="23591932"/>
    <w:rsid w:val="23A979DB"/>
    <w:rsid w:val="24664C68"/>
    <w:rsid w:val="24E26007"/>
    <w:rsid w:val="25472F43"/>
    <w:rsid w:val="25C32FD6"/>
    <w:rsid w:val="25DA003F"/>
    <w:rsid w:val="26496649"/>
    <w:rsid w:val="26E66850"/>
    <w:rsid w:val="27365AF8"/>
    <w:rsid w:val="274E2D73"/>
    <w:rsid w:val="27533EE6"/>
    <w:rsid w:val="27B30E28"/>
    <w:rsid w:val="27DD5EA5"/>
    <w:rsid w:val="28126853"/>
    <w:rsid w:val="28504E67"/>
    <w:rsid w:val="29363ABF"/>
    <w:rsid w:val="2B582A9A"/>
    <w:rsid w:val="2B870602"/>
    <w:rsid w:val="2BFA5278"/>
    <w:rsid w:val="2C34203F"/>
    <w:rsid w:val="2C597414"/>
    <w:rsid w:val="2C7C7699"/>
    <w:rsid w:val="2CFC7029"/>
    <w:rsid w:val="2D621327"/>
    <w:rsid w:val="2DB7624C"/>
    <w:rsid w:val="2DED7FEE"/>
    <w:rsid w:val="2E5266BB"/>
    <w:rsid w:val="2E61338C"/>
    <w:rsid w:val="2E6609A2"/>
    <w:rsid w:val="2E9D013C"/>
    <w:rsid w:val="2EF0746B"/>
    <w:rsid w:val="2F271D78"/>
    <w:rsid w:val="2F283EAA"/>
    <w:rsid w:val="2F4847B6"/>
    <w:rsid w:val="313E4BCD"/>
    <w:rsid w:val="315D4D67"/>
    <w:rsid w:val="32C03D43"/>
    <w:rsid w:val="341113B0"/>
    <w:rsid w:val="362979CB"/>
    <w:rsid w:val="366C4FC4"/>
    <w:rsid w:val="374E0226"/>
    <w:rsid w:val="37FF1D72"/>
    <w:rsid w:val="38AD443E"/>
    <w:rsid w:val="392538FF"/>
    <w:rsid w:val="39551D3F"/>
    <w:rsid w:val="395D061D"/>
    <w:rsid w:val="398D772B"/>
    <w:rsid w:val="39AB5E03"/>
    <w:rsid w:val="3A492409"/>
    <w:rsid w:val="3A834716"/>
    <w:rsid w:val="3AB17449"/>
    <w:rsid w:val="3ABB3288"/>
    <w:rsid w:val="3AC30F2B"/>
    <w:rsid w:val="3B801056"/>
    <w:rsid w:val="3DAF0BA9"/>
    <w:rsid w:val="3E3D5ADC"/>
    <w:rsid w:val="3EA177D5"/>
    <w:rsid w:val="3EB77FC0"/>
    <w:rsid w:val="3ECB008A"/>
    <w:rsid w:val="403B1563"/>
    <w:rsid w:val="4162324B"/>
    <w:rsid w:val="416B2F4D"/>
    <w:rsid w:val="429C278D"/>
    <w:rsid w:val="42AA7468"/>
    <w:rsid w:val="42B14A62"/>
    <w:rsid w:val="42F223AD"/>
    <w:rsid w:val="43960B7B"/>
    <w:rsid w:val="4406229B"/>
    <w:rsid w:val="44494453"/>
    <w:rsid w:val="45A11732"/>
    <w:rsid w:val="45F91CA4"/>
    <w:rsid w:val="467D172B"/>
    <w:rsid w:val="46930BBB"/>
    <w:rsid w:val="472B40E0"/>
    <w:rsid w:val="479A7666"/>
    <w:rsid w:val="47F70466"/>
    <w:rsid w:val="484723A8"/>
    <w:rsid w:val="485633DE"/>
    <w:rsid w:val="48825F81"/>
    <w:rsid w:val="49DA5644"/>
    <w:rsid w:val="4B675FED"/>
    <w:rsid w:val="4BA17066"/>
    <w:rsid w:val="4BD72A88"/>
    <w:rsid w:val="4C14526B"/>
    <w:rsid w:val="4C1A6DC7"/>
    <w:rsid w:val="4C3B4FDC"/>
    <w:rsid w:val="4C4F250A"/>
    <w:rsid w:val="4D152ED0"/>
    <w:rsid w:val="4DAE15C6"/>
    <w:rsid w:val="4DBA440F"/>
    <w:rsid w:val="4E202AAD"/>
    <w:rsid w:val="4E4B5067"/>
    <w:rsid w:val="4E546612"/>
    <w:rsid w:val="4EBE0710"/>
    <w:rsid w:val="4EFD498F"/>
    <w:rsid w:val="4FB10D14"/>
    <w:rsid w:val="50131BB5"/>
    <w:rsid w:val="507C3BFE"/>
    <w:rsid w:val="50F86C4C"/>
    <w:rsid w:val="51584EE6"/>
    <w:rsid w:val="51EA4F86"/>
    <w:rsid w:val="52B42EFD"/>
    <w:rsid w:val="538C02A6"/>
    <w:rsid w:val="54033FD8"/>
    <w:rsid w:val="542E3461"/>
    <w:rsid w:val="544669FD"/>
    <w:rsid w:val="544A5A8F"/>
    <w:rsid w:val="545A399F"/>
    <w:rsid w:val="558E065B"/>
    <w:rsid w:val="562A331E"/>
    <w:rsid w:val="562C5B54"/>
    <w:rsid w:val="56BE3D9F"/>
    <w:rsid w:val="583F3E8F"/>
    <w:rsid w:val="58DF19DA"/>
    <w:rsid w:val="59662D68"/>
    <w:rsid w:val="598C51FD"/>
    <w:rsid w:val="59D2488F"/>
    <w:rsid w:val="59ED1B53"/>
    <w:rsid w:val="5A0B1F10"/>
    <w:rsid w:val="5A9A53AC"/>
    <w:rsid w:val="5B070B67"/>
    <w:rsid w:val="5BFB4EAD"/>
    <w:rsid w:val="5C165B9C"/>
    <w:rsid w:val="5C197553"/>
    <w:rsid w:val="5CFA42E5"/>
    <w:rsid w:val="5D4E7626"/>
    <w:rsid w:val="5DF81806"/>
    <w:rsid w:val="5E2A6A47"/>
    <w:rsid w:val="5E7A6191"/>
    <w:rsid w:val="5ECC5D50"/>
    <w:rsid w:val="5F0B0627"/>
    <w:rsid w:val="5F56421A"/>
    <w:rsid w:val="5F952FEF"/>
    <w:rsid w:val="5FA8160F"/>
    <w:rsid w:val="5FBB72F5"/>
    <w:rsid w:val="6017749F"/>
    <w:rsid w:val="61880654"/>
    <w:rsid w:val="625249C8"/>
    <w:rsid w:val="625A1CAA"/>
    <w:rsid w:val="62780D32"/>
    <w:rsid w:val="631F522B"/>
    <w:rsid w:val="632443AD"/>
    <w:rsid w:val="63356920"/>
    <w:rsid w:val="63CD38B2"/>
    <w:rsid w:val="642D2310"/>
    <w:rsid w:val="64A21A2D"/>
    <w:rsid w:val="64E33DF4"/>
    <w:rsid w:val="65180B29"/>
    <w:rsid w:val="651A1B9C"/>
    <w:rsid w:val="654B3E73"/>
    <w:rsid w:val="66263F98"/>
    <w:rsid w:val="66290628"/>
    <w:rsid w:val="663A47D5"/>
    <w:rsid w:val="66846F11"/>
    <w:rsid w:val="672030DD"/>
    <w:rsid w:val="67627084"/>
    <w:rsid w:val="67E47089"/>
    <w:rsid w:val="6810221F"/>
    <w:rsid w:val="68904760"/>
    <w:rsid w:val="698721B0"/>
    <w:rsid w:val="69BD5301"/>
    <w:rsid w:val="6A502E2E"/>
    <w:rsid w:val="6B236242"/>
    <w:rsid w:val="6BCC7390"/>
    <w:rsid w:val="6CAE2F39"/>
    <w:rsid w:val="6DCD42E0"/>
    <w:rsid w:val="6DCF78FF"/>
    <w:rsid w:val="6DDA2238"/>
    <w:rsid w:val="6E3C70F4"/>
    <w:rsid w:val="6E9B4C6A"/>
    <w:rsid w:val="6EE80984"/>
    <w:rsid w:val="6F6049BF"/>
    <w:rsid w:val="6FD57B29"/>
    <w:rsid w:val="70D31E2A"/>
    <w:rsid w:val="71227A8F"/>
    <w:rsid w:val="71BB0C8D"/>
    <w:rsid w:val="71E13469"/>
    <w:rsid w:val="723B0DCB"/>
    <w:rsid w:val="736B508A"/>
    <w:rsid w:val="73A0182E"/>
    <w:rsid w:val="74017DF2"/>
    <w:rsid w:val="74BF147C"/>
    <w:rsid w:val="754B57C9"/>
    <w:rsid w:val="755044A8"/>
    <w:rsid w:val="75C80A9A"/>
    <w:rsid w:val="75ED7CB4"/>
    <w:rsid w:val="75FC68D7"/>
    <w:rsid w:val="764C5C54"/>
    <w:rsid w:val="76DE1903"/>
    <w:rsid w:val="77533479"/>
    <w:rsid w:val="77983CC0"/>
    <w:rsid w:val="78E55F35"/>
    <w:rsid w:val="78F42BEF"/>
    <w:rsid w:val="79077C59"/>
    <w:rsid w:val="79B3393D"/>
    <w:rsid w:val="79BC6C95"/>
    <w:rsid w:val="79BF6DE2"/>
    <w:rsid w:val="79F434B3"/>
    <w:rsid w:val="7A6A66F1"/>
    <w:rsid w:val="7ABE6A3D"/>
    <w:rsid w:val="7B7517F2"/>
    <w:rsid w:val="7BBF2A6D"/>
    <w:rsid w:val="7C07653E"/>
    <w:rsid w:val="7C2F7BF3"/>
    <w:rsid w:val="7C397563"/>
    <w:rsid w:val="7C694787"/>
    <w:rsid w:val="7D413F25"/>
    <w:rsid w:val="7D4C6582"/>
    <w:rsid w:val="7D5972E2"/>
    <w:rsid w:val="7D6F401F"/>
    <w:rsid w:val="7DB02960"/>
    <w:rsid w:val="7DC75C09"/>
    <w:rsid w:val="7E573C44"/>
    <w:rsid w:val="7F735085"/>
    <w:rsid w:val="7FA32ED3"/>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paragraph" w:styleId="3">
    <w:name w:val="Body Text Indent"/>
    <w:basedOn w:val="1"/>
    <w:next w:val="4"/>
    <w:autoRedefine/>
    <w:unhideWhenUsed/>
    <w:qFormat/>
    <w:uiPriority w:val="99"/>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6">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7">
    <w:name w:val="Body Text"/>
    <w:basedOn w:val="1"/>
    <w:next w:val="1"/>
    <w:autoRedefine/>
    <w:unhideWhenUsed/>
    <w:qFormat/>
    <w:uiPriority w:val="99"/>
    <w:pPr>
      <w:spacing w:after="120"/>
    </w:pPr>
  </w:style>
  <w:style w:type="paragraph" w:styleId="8">
    <w:name w:val="Balloon Text"/>
    <w:basedOn w:val="1"/>
    <w:link w:val="17"/>
    <w:autoRedefine/>
    <w:qFormat/>
    <w:uiPriority w:val="0"/>
    <w:rPr>
      <w:sz w:val="18"/>
      <w:szCs w:val="18"/>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w:basedOn w:val="7"/>
    <w:autoRedefine/>
    <w:qFormat/>
    <w:uiPriority w:val="0"/>
    <w:pPr>
      <w:spacing w:after="120"/>
      <w:ind w:firstLine="420" w:firstLineChars="100"/>
    </w:pPr>
    <w:rPr>
      <w:rFonts w:ascii="Calibri" w:hAnsi="Calibri" w:eastAsia="宋体"/>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6633</Words>
  <Characters>7181</Characters>
  <Lines>5</Lines>
  <Paragraphs>1</Paragraphs>
  <TotalTime>5</TotalTime>
  <ScaleCrop>false</ScaleCrop>
  <LinksUpToDate>false</LinksUpToDate>
  <CharactersWithSpaces>7878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2024-10-11T02:40:35Z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9616AA41CDDC41CDB6A012A512A5CBCB_13</vt:lpwstr>
  </property>
</Properties>
</file>